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8uaqrl7pa7or" w:id="0"/>
      <w:bookmarkEnd w:id="0"/>
      <w:r w:rsidDel="00000000" w:rsidR="00000000" w:rsidRPr="00000000">
        <w:rPr>
          <w:rtl w:val="0"/>
        </w:rPr>
        <w:t xml:space="preserve">A Quick Guide for Using “CustomGPTs” in ChatGPT 4</w:t>
      </w:r>
    </w:p>
    <w:p w:rsidR="00000000" w:rsidDel="00000000" w:rsidP="00000000" w:rsidRDefault="00000000" w:rsidRPr="00000000" w14:paraId="00000002">
      <w:pPr>
        <w:rPr/>
      </w:pPr>
      <w:r w:rsidDel="00000000" w:rsidR="00000000" w:rsidRPr="00000000">
        <w:rPr>
          <w:i w:val="1"/>
          <w:rtl w:val="0"/>
        </w:rPr>
        <w:t xml:space="preserve">Guide written by Ken Reid &amp; Jing Liu</w:t>
      </w:r>
      <w:r w:rsidDel="00000000" w:rsidR="00000000" w:rsidRPr="00000000">
        <w:rPr>
          <w:rtl w:val="0"/>
        </w:rPr>
      </w:r>
    </w:p>
    <w:p w:rsidR="00000000" w:rsidDel="00000000" w:rsidP="00000000" w:rsidRDefault="00000000" w:rsidRPr="00000000" w14:paraId="00000003">
      <w:pPr>
        <w:pStyle w:val="Heading1"/>
        <w:rPr/>
      </w:pPr>
      <w:bookmarkStart w:colFirst="0" w:colLast="0" w:name="_kolfaugxiy6n" w:id="1"/>
      <w:bookmarkEnd w:id="1"/>
      <w:r w:rsidDel="00000000" w:rsidR="00000000" w:rsidRPr="00000000">
        <w:rPr>
          <w:rtl w:val="0"/>
        </w:rPr>
        <w:t xml:space="preserve">Overview</w:t>
      </w:r>
    </w:p>
    <w:p w:rsidR="00000000" w:rsidDel="00000000" w:rsidP="00000000" w:rsidRDefault="00000000" w:rsidRPr="00000000" w14:paraId="00000004">
      <w:pPr>
        <w:rPr/>
      </w:pPr>
      <w:r w:rsidDel="00000000" w:rsidR="00000000" w:rsidRPr="00000000">
        <w:rPr>
          <w:rtl w:val="0"/>
        </w:rPr>
        <w:t xml:space="preserve">Custom GPTs allow researchers to tailor ChatGPT for specific needs, enabling specialized tools for tasks like summarizing papers, analyzing data, and assisting in experimental design, using custom prompts and files.</w:t>
      </w:r>
    </w:p>
    <w:p w:rsidR="00000000" w:rsidDel="00000000" w:rsidP="00000000" w:rsidRDefault="00000000" w:rsidRPr="00000000" w14:paraId="00000005">
      <w:pPr>
        <w:pStyle w:val="Heading1"/>
        <w:rPr/>
      </w:pPr>
      <w:bookmarkStart w:colFirst="0" w:colLast="0" w:name="_woqs0x82tn8i" w:id="2"/>
      <w:bookmarkEnd w:id="2"/>
      <w:r w:rsidDel="00000000" w:rsidR="00000000" w:rsidRPr="00000000">
        <w:rPr>
          <w:rtl w:val="0"/>
        </w:rPr>
        <w:t xml:space="preserve">Getting </w:t>
      </w:r>
      <w:r w:rsidDel="00000000" w:rsidR="00000000" w:rsidRPr="00000000">
        <w:rPr>
          <w:rtl w:val="0"/>
        </w:rPr>
        <w:t xml:space="preserve">Started</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3"/>
        </w:numPr>
        <w:ind w:left="720" w:hanging="360"/>
      </w:pPr>
      <w:hyperlink r:id="rId6">
        <w:r w:rsidDel="00000000" w:rsidR="00000000" w:rsidRPr="00000000">
          <w:rPr>
            <w:color w:val="1155cc"/>
            <w:u w:val="single"/>
            <w:rtl w:val="0"/>
          </w:rPr>
          <w:t xml:space="preserve">Click here to open ChatGPT</w:t>
        </w:r>
      </w:hyperlink>
      <w:r w:rsidDel="00000000" w:rsidR="00000000" w:rsidRPr="00000000">
        <w:rPr>
          <w:rtl w:val="0"/>
        </w:rPr>
        <w:t xml:space="preserve"> in your web browser. </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Select "Explore GPTs" from the sidebar menu.</w:t>
      </w: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drawing>
          <wp:inline distB="114300" distT="114300" distL="114300" distR="114300">
            <wp:extent cx="5943600" cy="30099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Choose the "+ Create" option.</w:t>
      </w:r>
    </w:p>
    <w:p w:rsidR="00000000" w:rsidDel="00000000" w:rsidP="00000000" w:rsidRDefault="00000000" w:rsidRPr="00000000" w14:paraId="0000000B">
      <w:pPr>
        <w:ind w:left="720" w:firstLine="0"/>
        <w:rPr/>
      </w:pPr>
      <w:r w:rsidDel="00000000" w:rsidR="00000000" w:rsidRPr="00000000">
        <w:rPr/>
        <w:drawing>
          <wp:inline distB="114300" distT="114300" distL="114300" distR="114300">
            <wp:extent cx="5943600" cy="2549525"/>
            <wp:effectExtent b="0" l="0" r="0" t="0"/>
            <wp:docPr id="5" name="image4.png"/>
            <a:graphic>
              <a:graphicData uri="http://schemas.openxmlformats.org/drawingml/2006/picture">
                <pic:pic>
                  <pic:nvPicPr>
                    <pic:cNvPr id="0" name="image4.png"/>
                    <pic:cNvPicPr preferRelativeResize="0"/>
                  </pic:nvPicPr>
                  <pic:blipFill>
                    <a:blip r:embed="rId8"/>
                    <a:srcRect b="15026" l="0" r="0" t="0"/>
                    <a:stretch>
                      <a:fillRect/>
                    </a:stretch>
                  </pic:blipFill>
                  <pic:spPr>
                    <a:xfrm>
                      <a:off x="0" y="0"/>
                      <a:ext cx="5943600" cy="25495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You can use the “Create” option to create a standard model, but the “Configure” section provides more customized options and we’ll provide an example here. </w:t>
      </w:r>
    </w:p>
    <w:p w:rsidR="00000000" w:rsidDel="00000000" w:rsidP="00000000" w:rsidRDefault="00000000" w:rsidRPr="00000000" w14:paraId="0000000D">
      <w:pPr>
        <w:numPr>
          <w:ilvl w:val="1"/>
          <w:numId w:val="3"/>
        </w:numPr>
        <w:ind w:left="1440" w:hanging="360"/>
        <w:rPr>
          <w:u w:val="none"/>
        </w:rPr>
      </w:pPr>
      <w:r w:rsidDel="00000000" w:rsidR="00000000" w:rsidRPr="00000000">
        <w:rPr>
          <w:rtl w:val="0"/>
        </w:rPr>
        <w:t xml:space="preserve">Type your </w:t>
      </w:r>
      <w:r w:rsidDel="00000000" w:rsidR="00000000" w:rsidRPr="00000000">
        <w:rPr>
          <w:rtl w:val="0"/>
        </w:rPr>
        <w:t xml:space="preserve">instructions</w:t>
      </w:r>
      <w:r w:rsidDel="00000000" w:rsidR="00000000" w:rsidRPr="00000000">
        <w:rPr>
          <w:rtl w:val="0"/>
        </w:rPr>
        <w:t xml:space="preserve"> for the GPT Builder in the message field - instructions can include tone, purpose, data format for the custom GPT to produce, style, and anything that can be stated in natural language: </w:t>
      </w:r>
      <w:r w:rsidDel="00000000" w:rsidR="00000000" w:rsidRPr="00000000">
        <w:rPr>
          <w:rtl w:val="0"/>
        </w:rPr>
        <w:t xml:space="preserve">see the screenshots below for an example</w:t>
      </w:r>
      <w:r w:rsidDel="00000000" w:rsidR="00000000" w:rsidRPr="00000000">
        <w:rPr>
          <w:rtl w:val="0"/>
        </w:rPr>
        <w:t xml:space="preserve"> of 1) a GPT that can save a researcher that conducts similar analyses frequently and repeatedly, and 2) a GPT that acts as a PhD student research assistant, adept at various tasks with clear, professional communication. </w:t>
      </w:r>
    </w:p>
    <w:p w:rsidR="00000000" w:rsidDel="00000000" w:rsidP="00000000" w:rsidRDefault="00000000" w:rsidRPr="00000000" w14:paraId="0000000E">
      <w:pPr>
        <w:numPr>
          <w:ilvl w:val="1"/>
          <w:numId w:val="3"/>
        </w:numPr>
        <w:ind w:left="1440" w:hanging="360"/>
        <w:rPr>
          <w:u w:val="none"/>
        </w:rPr>
      </w:pPr>
      <w:r w:rsidDel="00000000" w:rsidR="00000000" w:rsidRPr="00000000">
        <w:rPr>
          <w:rtl w:val="0"/>
        </w:rPr>
        <w:t xml:space="preserve">Provide a description (for yourself or others, if you make it public), and </w:t>
      </w:r>
      <w:r w:rsidDel="00000000" w:rsidR="00000000" w:rsidRPr="00000000">
        <w:rPr>
          <w:rtl w:val="0"/>
        </w:rPr>
        <w:t xml:space="preserve">upload</w:t>
      </w:r>
      <w:r w:rsidDel="00000000" w:rsidR="00000000" w:rsidRPr="00000000">
        <w:rPr>
          <w:rtl w:val="0"/>
        </w:rPr>
        <w:t xml:space="preserve"> each file you want to initialize the GPT with (in the example given, this could be CSV (Microsoft excel compatible) files of your data and optionally add an icon for your GPT. </w:t>
      </w:r>
    </w:p>
    <w:p w:rsidR="00000000" w:rsidDel="00000000" w:rsidP="00000000" w:rsidRDefault="00000000" w:rsidRPr="00000000" w14:paraId="0000000F">
      <w:pPr>
        <w:numPr>
          <w:ilvl w:val="1"/>
          <w:numId w:val="3"/>
        </w:numPr>
        <w:ind w:left="1440" w:hanging="360"/>
        <w:rPr>
          <w:u w:val="none"/>
        </w:rPr>
      </w:pPr>
      <w:r w:rsidDel="00000000" w:rsidR="00000000" w:rsidRPr="00000000">
        <w:rPr>
          <w:rtl w:val="0"/>
        </w:rPr>
        <w:t xml:space="preserve">Name your Custom GPT appropriately, reflecting its purpose or specialization.</w:t>
      </w:r>
    </w:p>
    <w:p w:rsidR="00000000" w:rsidDel="00000000" w:rsidP="00000000" w:rsidRDefault="00000000" w:rsidRPr="00000000" w14:paraId="00000010">
      <w:pPr>
        <w:numPr>
          <w:ilvl w:val="1"/>
          <w:numId w:val="3"/>
        </w:numPr>
        <w:ind w:left="1440" w:hanging="360"/>
        <w:rPr>
          <w:u w:val="none"/>
        </w:rPr>
      </w:pPr>
      <w:r w:rsidDel="00000000" w:rsidR="00000000" w:rsidRPr="00000000">
        <w:rPr>
          <w:rtl w:val="0"/>
        </w:rPr>
        <w:t xml:space="preserve">Set the capabilities of your GPT, such as web browsing or image analysis, based on your research needs.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Example 1</w:t>
      </w:r>
    </w:p>
    <w:p w:rsidR="00000000" w:rsidDel="00000000" w:rsidP="00000000" w:rsidRDefault="00000000" w:rsidRPr="00000000" w14:paraId="0000001F">
      <w:pPr>
        <w:ind w:left="1440" w:firstLine="0"/>
        <w:rPr/>
      </w:pPr>
      <w:r w:rsidDel="00000000" w:rsidR="00000000" w:rsidRPr="00000000">
        <w:rPr>
          <w:rtl w:val="0"/>
        </w:rPr>
        <w:t xml:space="preserve">Example 2</w:t>
      </w:r>
      <w:r w:rsidDel="00000000" w:rsidR="00000000" w:rsidRPr="00000000">
        <w:drawing>
          <wp:anchor allowOverlap="1" behindDoc="0" distB="114300" distT="114300" distL="114300" distR="114300" hidden="0" layoutInCell="1" locked="0" relativeHeight="0" simplePos="0">
            <wp:simplePos x="0" y="0"/>
            <wp:positionH relativeFrom="column">
              <wp:posOffset>933450</wp:posOffset>
            </wp:positionH>
            <wp:positionV relativeFrom="paragraph">
              <wp:posOffset>114300</wp:posOffset>
            </wp:positionV>
            <wp:extent cx="5943600" cy="57912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5791200"/>
                    </a:xfrm>
                    <a:prstGeom prst="rect"/>
                    <a:ln/>
                  </pic:spPr>
                </pic:pic>
              </a:graphicData>
            </a:graphic>
          </wp:anchor>
        </w:drawing>
      </w:r>
    </w:p>
    <w:p w:rsidR="00000000" w:rsidDel="00000000" w:rsidP="00000000" w:rsidRDefault="00000000" w:rsidRPr="00000000" w14:paraId="00000020">
      <w:pPr>
        <w:ind w:left="1440" w:firstLine="0"/>
        <w:rPr/>
      </w:pPr>
      <w:r w:rsidDel="00000000" w:rsidR="00000000" w:rsidRPr="00000000">
        <w:rPr/>
        <w:drawing>
          <wp:inline distB="114300" distT="114300" distL="114300" distR="114300">
            <wp:extent cx="5943600" cy="30861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ind w:left="14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933450</wp:posOffset>
            </wp:positionH>
            <wp:positionV relativeFrom="paragraph">
              <wp:posOffset>114300</wp:posOffset>
            </wp:positionV>
            <wp:extent cx="5943600" cy="5816600"/>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5816600"/>
                    </a:xfrm>
                    <a:prstGeom prst="rect"/>
                    <a:ln/>
                  </pic:spPr>
                </pic:pic>
              </a:graphicData>
            </a:graphic>
          </wp:anchor>
        </w:drawing>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Hit "Save" and decide on the sharing settings for your custom GPT.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rPr/>
      </w:pPr>
      <w:bookmarkStart w:colFirst="0" w:colLast="0" w:name="_vd8pauao3zm8" w:id="3"/>
      <w:bookmarkEnd w:id="3"/>
      <w:r w:rsidDel="00000000" w:rsidR="00000000" w:rsidRPr="00000000">
        <w:rPr>
          <w:rtl w:val="0"/>
        </w:rPr>
        <w:t xml:space="preserve">Custom GPT Ideas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Literature Review GPT: Summarizes articles, identifies key findings and gaps.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Data Analysis GPT: Guides on which analyses to conduct and why.</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'External Perspective' GPT: Emulates reviews from other specialists.</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Publication Preparation GPT: Assists in manuscript preparation for publication.</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Field-Specific Knowledge GPTs: Provides discipline-specific advice and updates.</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Statistical Analysis Helper: Assists in choosing appropriate statistical tests and interpreting results.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1"/>
        <w:rPr/>
      </w:pPr>
      <w:bookmarkStart w:colFirst="0" w:colLast="0" w:name="_cb42q5mkxpu5" w:id="4"/>
      <w:bookmarkEnd w:id="4"/>
      <w:r w:rsidDel="00000000" w:rsidR="00000000" w:rsidRPr="00000000">
        <w:rPr>
          <w:rtl w:val="0"/>
        </w:rPr>
        <w:t xml:space="preserve">Additional Resources</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See our </w:t>
      </w:r>
      <w:hyperlink r:id="rId12">
        <w:r w:rsidDel="00000000" w:rsidR="00000000" w:rsidRPr="00000000">
          <w:rPr>
            <w:color w:val="1155cc"/>
            <w:u w:val="single"/>
            <w:rtl w:val="0"/>
          </w:rPr>
          <w:t xml:space="preserve">quick guide for using “Data Analysis” in ChatGPT 4.0</w:t>
        </w:r>
      </w:hyperlink>
      <w:r w:rsidDel="00000000" w:rsidR="00000000" w:rsidRPr="00000000">
        <w:rPr>
          <w:rtl w:val="0"/>
        </w:rPr>
        <w:t xml:space="preserve"> for examples of using ChatGPT for programming. </w:t>
      </w:r>
    </w:p>
    <w:p w:rsidR="00000000" w:rsidDel="00000000" w:rsidP="00000000" w:rsidRDefault="00000000" w:rsidRPr="00000000" w14:paraId="00000031">
      <w:pPr>
        <w:numPr>
          <w:ilvl w:val="0"/>
          <w:numId w:val="1"/>
        </w:numPr>
        <w:ind w:left="720" w:hanging="360"/>
      </w:pPr>
      <w:r w:rsidDel="00000000" w:rsidR="00000000" w:rsidRPr="00000000">
        <w:rPr>
          <w:rtl w:val="0"/>
        </w:rPr>
        <w:t xml:space="preserve">See our </w:t>
      </w:r>
      <w:hyperlink r:id="rId13">
        <w:r w:rsidDel="00000000" w:rsidR="00000000" w:rsidRPr="00000000">
          <w:rPr>
            <w:color w:val="1155cc"/>
            <w:u w:val="single"/>
            <w:rtl w:val="0"/>
          </w:rPr>
          <w:t xml:space="preserve">resource hub</w:t>
        </w:r>
      </w:hyperlink>
      <w:r w:rsidDel="00000000" w:rsidR="00000000" w:rsidRPr="00000000">
        <w:rPr>
          <w:rtl w:val="0"/>
        </w:rPr>
        <w:t xml:space="preserve"> for examples of generative AI used in research and more resources.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hyperlink" Target="https://midas.umich.edu/generative-ai-resources/" TargetMode="External"/><Relationship Id="rId12" Type="http://schemas.openxmlformats.org/officeDocument/2006/relationships/hyperlink" Target="https://midas.umich.edu/data-analysis-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chatgpt.com/" TargetMode="Externa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